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阶梯推进</w:t>
      </w:r>
      <w:r>
        <w:rPr>
          <w:rFonts w:hint="eastAsia"/>
          <w:b/>
          <w:sz w:val="30"/>
          <w:szCs w:val="30"/>
          <w:lang w:val="en-US" w:eastAsia="zh-CN"/>
        </w:rPr>
        <w:t>诊改</w:t>
      </w:r>
      <w:r>
        <w:rPr>
          <w:rFonts w:hint="eastAsia"/>
          <w:b/>
          <w:sz w:val="30"/>
          <w:szCs w:val="30"/>
        </w:rPr>
        <w:t>，</w:t>
      </w:r>
      <w:r>
        <w:rPr>
          <w:rFonts w:hint="eastAsia"/>
          <w:b/>
          <w:sz w:val="30"/>
          <w:szCs w:val="30"/>
          <w:lang w:eastAsia="zh-CN"/>
        </w:rPr>
        <w:t>促质量螺旋上升</w:t>
      </w:r>
    </w:p>
    <w:p>
      <w:pPr>
        <w:ind w:firstLine="450" w:firstLineChars="150"/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——</w:t>
      </w:r>
      <w:r>
        <w:rPr>
          <w:rFonts w:hint="eastAsia"/>
          <w:b/>
          <w:sz w:val="28"/>
          <w:szCs w:val="28"/>
          <w:lang w:val="en-US" w:eastAsia="zh-CN"/>
        </w:rPr>
        <w:t>盐步职校</w:t>
      </w:r>
      <w:r>
        <w:rPr>
          <w:rFonts w:hint="eastAsia"/>
          <w:b/>
          <w:sz w:val="28"/>
          <w:szCs w:val="28"/>
        </w:rPr>
        <w:t>在全国中职教学诊改培训班（第</w:t>
      </w:r>
      <w:r>
        <w:rPr>
          <w:rFonts w:hint="eastAsia"/>
          <w:b/>
          <w:sz w:val="28"/>
          <w:szCs w:val="28"/>
          <w:lang w:eastAsia="zh-CN"/>
        </w:rPr>
        <w:t>四</w:t>
      </w:r>
      <w:r>
        <w:rPr>
          <w:rFonts w:hint="eastAsia"/>
          <w:b/>
          <w:sz w:val="28"/>
          <w:szCs w:val="28"/>
        </w:rPr>
        <w:t>期）</w:t>
      </w:r>
      <w:r>
        <w:rPr>
          <w:rFonts w:hint="eastAsia"/>
          <w:b/>
          <w:sz w:val="28"/>
          <w:szCs w:val="28"/>
          <w:lang w:val="en-US" w:eastAsia="zh-CN"/>
        </w:rPr>
        <w:t>作</w:t>
      </w:r>
      <w:r>
        <w:rPr>
          <w:rFonts w:hint="eastAsia"/>
          <w:b/>
          <w:sz w:val="28"/>
          <w:szCs w:val="28"/>
        </w:rPr>
        <w:t>分享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2018年11月20-21日，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全国中等职业学校教学工作诊断与改进培训班（第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期）在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重庆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成功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举办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来自各大职业院校将近400人参加了培训，其中盐步职校教学副校长华群青和督导室陈文老师参加了本次培训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ind w:firstLine="560" w:firstLineChars="200"/>
        <w:rPr>
          <w:rFonts w:hint="eastAsia"/>
          <w:color w:val="auto"/>
          <w:sz w:val="28"/>
          <w:lang w:eastAsia="zh-CN"/>
        </w:rPr>
      </w:pPr>
      <w:r>
        <w:rPr>
          <w:rFonts w:hint="eastAsia"/>
          <w:color w:val="FF0000"/>
          <w:sz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14605</wp:posOffset>
            </wp:positionV>
            <wp:extent cx="3653790" cy="2463165"/>
            <wp:effectExtent l="0" t="0" r="3810" b="13335"/>
            <wp:wrapSquare wrapText="bothSides"/>
            <wp:docPr id="8" name="图片 8" descr="_MG_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MG_39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eastAsia"/>
          <w:color w:val="auto"/>
          <w:sz w:val="28"/>
          <w:lang w:eastAsia="zh-CN"/>
        </w:rPr>
      </w:pPr>
    </w:p>
    <w:p>
      <w:pPr>
        <w:ind w:firstLine="560" w:firstLineChars="200"/>
        <w:rPr>
          <w:rFonts w:hint="eastAsia"/>
          <w:color w:val="auto"/>
          <w:sz w:val="28"/>
          <w:lang w:eastAsia="zh-CN"/>
        </w:rPr>
      </w:pPr>
    </w:p>
    <w:p>
      <w:pPr>
        <w:ind w:firstLine="560" w:firstLineChars="200"/>
        <w:rPr>
          <w:rFonts w:hint="eastAsia"/>
          <w:color w:val="auto"/>
          <w:sz w:val="28"/>
          <w:lang w:eastAsia="zh-CN"/>
        </w:rPr>
      </w:pPr>
    </w:p>
    <w:p>
      <w:pPr>
        <w:ind w:firstLine="560" w:firstLineChars="200"/>
        <w:rPr>
          <w:rFonts w:hint="eastAsia"/>
          <w:color w:val="auto"/>
          <w:sz w:val="28"/>
          <w:lang w:eastAsia="zh-CN"/>
        </w:rPr>
      </w:pPr>
    </w:p>
    <w:p>
      <w:pPr>
        <w:ind w:firstLine="560" w:firstLineChars="200"/>
        <w:rPr>
          <w:rFonts w:hint="eastAsia"/>
          <w:color w:val="auto"/>
          <w:sz w:val="28"/>
          <w:lang w:eastAsia="zh-CN"/>
        </w:rPr>
      </w:pPr>
    </w:p>
    <w:p>
      <w:pPr>
        <w:ind w:firstLine="560" w:firstLineChars="200"/>
        <w:rPr>
          <w:rFonts w:hint="eastAsia"/>
          <w:color w:val="auto"/>
          <w:sz w:val="28"/>
          <w:lang w:eastAsia="zh-CN"/>
        </w:rPr>
      </w:pPr>
    </w:p>
    <w:p>
      <w:pPr>
        <w:ind w:firstLine="560" w:firstLineChars="200"/>
        <w:rPr>
          <w:rFonts w:hint="eastAsia"/>
          <w:color w:val="auto"/>
          <w:sz w:val="28"/>
          <w:lang w:eastAsia="zh-CN"/>
        </w:rPr>
      </w:pPr>
    </w:p>
    <w:p>
      <w:pPr>
        <w:ind w:firstLine="360" w:firstLineChars="200"/>
        <w:jc w:val="center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开班仪式现场</w:t>
      </w:r>
    </w:p>
    <w:p>
      <w:pPr>
        <w:ind w:firstLine="360" w:firstLineChars="200"/>
        <w:rPr>
          <w:rFonts w:hint="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30480</wp:posOffset>
            </wp:positionV>
            <wp:extent cx="3663950" cy="2463800"/>
            <wp:effectExtent l="0" t="0" r="12700" b="12700"/>
            <wp:wrapSquare wrapText="bothSides"/>
            <wp:docPr id="4" name="图片 4" descr="749711247797439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497112477974393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</w:p>
    <w:p>
      <w:pPr>
        <w:ind w:firstLine="360" w:firstLineChars="200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ind w:firstLine="360" w:firstLineChars="200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华群青副校长、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陈文督导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与全国教学诊改专委会副主任周俊教授合影</w:t>
      </w:r>
    </w:p>
    <w:p>
      <w:pPr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教育部职成司高职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发展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灿林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在开班仪式上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作动员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讲话，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号召参培学员深入学习习近平总书记重要讲话和全国教育大会精神，以当前正在做的事情为中心，持之以恒，加快推进职业院校教学工作诊断与改进制度建设，持续提高职业教育人才培养质量。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随后，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全国诊改专委会副主任委员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周俊教授作了题为《诊改提升质量，发展铸实未来》的主题报告；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全国诊改专委会委员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何锡涛教授带来了题为《牢固树立数据意识，培植应用数据习惯》的专题讲座；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全国诊改专委会副主任委员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郭葳校长作了题为《全面推进教学诊断与改进工作的策略与实践》的报告；重庆市教育科学研究院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谭绍华副所长作了题为《</w:t>
      </w:r>
      <w:r>
        <w:rPr>
          <w:rFonts w:hint="eastAsia" w:ascii="宋体" w:hAnsi="宋体" w:eastAsia="宋体" w:cs="宋体"/>
          <w:sz w:val="24"/>
          <w:szCs w:val="24"/>
        </w:rPr>
        <w:t>也说教学工作诊断与改进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》的专题讲座；重庆市渝北职业教育中心</w:t>
      </w:r>
      <w:r>
        <w:rPr>
          <w:rFonts w:hint="eastAsia" w:ascii="宋体" w:hAnsi="宋体" w:eastAsia="宋体" w:cs="宋体"/>
          <w:sz w:val="24"/>
          <w:szCs w:val="24"/>
        </w:rPr>
        <w:t>张扬群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校长作了题为《</w:t>
      </w:r>
      <w:r>
        <w:rPr>
          <w:rFonts w:hint="eastAsia" w:ascii="宋体" w:hAnsi="宋体" w:eastAsia="宋体" w:cs="宋体"/>
          <w:sz w:val="24"/>
          <w:szCs w:val="24"/>
        </w:rPr>
        <w:t>教学工作诊断与改进制度建设与运行校本化实践探索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》的报告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午，来自全国的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所中职试点校进行了案例分享。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盐步职校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华群青副校长以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阶梯推进诊改，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促质量螺旋上升》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为题，从认识诊改、实施诊改、学校变化、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反思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四个方面对学校诊改工作实施情况进行介绍与分享。许多专家、同行对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盐步职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校“阶梯推进诊改”及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诊改三结合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的个性化做法给予高度评价，纷纷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前来咨询，对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盐步职校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作为一所省重学校开展教学诊改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所取得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工作成效称赞不已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</w:p>
    <w:p>
      <w:pPr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275590</wp:posOffset>
            </wp:positionV>
            <wp:extent cx="3910965" cy="2607310"/>
            <wp:effectExtent l="0" t="0" r="13335" b="2540"/>
            <wp:wrapSquare wrapText="bothSides"/>
            <wp:docPr id="1" name="图片 1" descr="_MG_4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MG_4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</w:t>
      </w:r>
    </w:p>
    <w:p>
      <w:pPr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ind w:firstLine="180" w:firstLineChars="100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ind w:firstLine="180" w:firstLineChars="100"/>
        <w:jc w:val="center"/>
        <w:rPr>
          <w:rFonts w:hint="eastAsia" w:asciiTheme="minorEastAsia" w:hAnsiTheme="minorEastAsia" w:eastAsiaTheme="minorEastAsia" w:cstheme="minorEastAsia"/>
          <w:sz w:val="18"/>
          <w:szCs w:val="18"/>
          <w:lang w:val="en-US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华群青副校长在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培训班上进行案例分享</w:t>
      </w:r>
    </w:p>
    <w:p>
      <w:pPr>
        <w:ind w:firstLine="280" w:firstLineChars="100"/>
        <w:rPr>
          <w:rFonts w:hint="eastAsia"/>
          <w:sz w:val="28"/>
        </w:rPr>
      </w:pPr>
      <w:r>
        <w:rPr>
          <w:rFonts w:hint="eastAsia" w:eastAsia="微软雅黑"/>
          <w:sz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169545</wp:posOffset>
            </wp:positionV>
            <wp:extent cx="3851910" cy="2988945"/>
            <wp:effectExtent l="0" t="0" r="15240" b="1905"/>
            <wp:wrapSquare wrapText="bothSides"/>
            <wp:docPr id="7" name="图片 7" descr="438017436927618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380174369276181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280" w:firstLineChars="100"/>
        <w:rPr>
          <w:sz w:val="28"/>
        </w:rPr>
      </w:pPr>
      <w:r>
        <w:rPr>
          <w:rFonts w:hint="eastAsia"/>
          <w:sz w:val="28"/>
        </w:rPr>
        <w:t>   </w:t>
      </w:r>
    </w:p>
    <w:p>
      <w:pPr>
        <w:ind w:firstLine="280" w:firstLineChars="100"/>
        <w:rPr>
          <w:rFonts w:hint="eastAsia" w:eastAsia="微软雅黑"/>
          <w:sz w:val="28"/>
          <w:lang w:eastAsia="zh-CN"/>
        </w:rPr>
      </w:pPr>
    </w:p>
    <w:p>
      <w:pPr>
        <w:ind w:firstLine="240" w:firstLineChars="100"/>
        <w:jc w:val="center"/>
        <w:rPr>
          <w:rFonts w:hint="eastAsia"/>
          <w:sz w:val="24"/>
          <w:szCs w:val="24"/>
        </w:rPr>
      </w:pPr>
    </w:p>
    <w:p>
      <w:pPr>
        <w:ind w:firstLine="240" w:firstLineChars="100"/>
        <w:jc w:val="center"/>
        <w:rPr>
          <w:rFonts w:hint="eastAsia"/>
          <w:sz w:val="24"/>
          <w:szCs w:val="24"/>
        </w:rPr>
      </w:pPr>
    </w:p>
    <w:p>
      <w:pPr>
        <w:ind w:firstLine="240" w:firstLineChars="100"/>
        <w:jc w:val="center"/>
        <w:rPr>
          <w:rFonts w:hint="eastAsia"/>
          <w:sz w:val="24"/>
          <w:szCs w:val="24"/>
        </w:rPr>
      </w:pPr>
    </w:p>
    <w:p>
      <w:pPr>
        <w:ind w:firstLine="240" w:firstLineChars="100"/>
        <w:jc w:val="center"/>
        <w:rPr>
          <w:rFonts w:hint="eastAsia"/>
          <w:sz w:val="24"/>
          <w:szCs w:val="24"/>
        </w:rPr>
      </w:pPr>
    </w:p>
    <w:p>
      <w:pPr>
        <w:ind w:firstLine="240" w:firstLineChars="100"/>
        <w:jc w:val="center"/>
        <w:rPr>
          <w:rFonts w:hint="eastAsia"/>
          <w:sz w:val="24"/>
          <w:szCs w:val="24"/>
        </w:rPr>
      </w:pPr>
    </w:p>
    <w:p>
      <w:pPr>
        <w:ind w:firstLine="240" w:firstLineChars="100"/>
        <w:jc w:val="center"/>
        <w:rPr>
          <w:rFonts w:hint="eastAsia"/>
          <w:sz w:val="24"/>
          <w:szCs w:val="24"/>
        </w:rPr>
      </w:pPr>
    </w:p>
    <w:p>
      <w:pPr>
        <w:ind w:firstLine="240" w:firstLineChars="100"/>
        <w:jc w:val="center"/>
        <w:rPr>
          <w:rFonts w:hint="eastAsia"/>
          <w:sz w:val="24"/>
          <w:szCs w:val="24"/>
        </w:rPr>
      </w:pPr>
    </w:p>
    <w:p>
      <w:pPr>
        <w:ind w:firstLine="180" w:firstLineChars="100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诊改培训会会场</w:t>
      </w:r>
    </w:p>
    <w:p>
      <w:pPr>
        <w:ind w:firstLine="240" w:firstLineChars="10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通过本次培训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更加明确了学校努力的方向，学校会更加坚定诊改的信心和决心，努力提升质量和内涵建设，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在诊改的道路上，不断学习、探索、创新，不忘初心，砥砺前行，努力做更好的自己！ </w:t>
      </w:r>
      <w:r>
        <w:rPr>
          <w:rFonts w:hint="eastAsia"/>
          <w:sz w:val="28"/>
        </w:rPr>
        <w:t>     </w:t>
      </w: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</w:p>
    <w:p>
      <w:pPr>
        <w:ind w:firstLine="5520" w:firstLineChars="2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督导室供稿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 </w:t>
      </w:r>
    </w:p>
    <w:p>
      <w:pPr>
        <w:ind w:firstLine="5040" w:firstLineChars="2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2018年11月23日</w:t>
      </w:r>
    </w:p>
    <w:p>
      <w:pPr>
        <w:ind w:firstLine="5040" w:firstLineChars="2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ind w:firstLine="5040" w:firstLineChars="2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ind w:firstLine="5040" w:firstLineChars="2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ind w:firstLine="5040" w:firstLineChars="2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4112"/>
    <w:rsid w:val="00002E80"/>
    <w:rsid w:val="000F187C"/>
    <w:rsid w:val="00194E62"/>
    <w:rsid w:val="00206324"/>
    <w:rsid w:val="002E07BC"/>
    <w:rsid w:val="002E6ADF"/>
    <w:rsid w:val="00323B43"/>
    <w:rsid w:val="003D37D8"/>
    <w:rsid w:val="004251DF"/>
    <w:rsid w:val="004358AB"/>
    <w:rsid w:val="004D1265"/>
    <w:rsid w:val="00525D12"/>
    <w:rsid w:val="00740D99"/>
    <w:rsid w:val="008B7726"/>
    <w:rsid w:val="008D5014"/>
    <w:rsid w:val="00964112"/>
    <w:rsid w:val="00BC160B"/>
    <w:rsid w:val="00C50A81"/>
    <w:rsid w:val="00C64012"/>
    <w:rsid w:val="00D5343E"/>
    <w:rsid w:val="00F00645"/>
    <w:rsid w:val="017C1C7B"/>
    <w:rsid w:val="03D91EF8"/>
    <w:rsid w:val="043928CD"/>
    <w:rsid w:val="06451E69"/>
    <w:rsid w:val="083B1A5E"/>
    <w:rsid w:val="0B064EDE"/>
    <w:rsid w:val="0BD6106F"/>
    <w:rsid w:val="0E220CA4"/>
    <w:rsid w:val="0E691692"/>
    <w:rsid w:val="0F4400E6"/>
    <w:rsid w:val="12EA5CF6"/>
    <w:rsid w:val="13A8226A"/>
    <w:rsid w:val="14923475"/>
    <w:rsid w:val="16904565"/>
    <w:rsid w:val="17FB11EB"/>
    <w:rsid w:val="186C0A27"/>
    <w:rsid w:val="186F5274"/>
    <w:rsid w:val="1D53146A"/>
    <w:rsid w:val="1D8335DC"/>
    <w:rsid w:val="1DA51D12"/>
    <w:rsid w:val="20CA1423"/>
    <w:rsid w:val="23D06694"/>
    <w:rsid w:val="27D82161"/>
    <w:rsid w:val="29C14D64"/>
    <w:rsid w:val="29D858F6"/>
    <w:rsid w:val="2F140839"/>
    <w:rsid w:val="2F5768CD"/>
    <w:rsid w:val="33B27B0E"/>
    <w:rsid w:val="33C01ACD"/>
    <w:rsid w:val="33CD7E29"/>
    <w:rsid w:val="33CE14EE"/>
    <w:rsid w:val="345335C8"/>
    <w:rsid w:val="369907DF"/>
    <w:rsid w:val="36C14C49"/>
    <w:rsid w:val="376C11B3"/>
    <w:rsid w:val="378B533D"/>
    <w:rsid w:val="382F4EAE"/>
    <w:rsid w:val="39497BCB"/>
    <w:rsid w:val="3B8B399D"/>
    <w:rsid w:val="3EE5339A"/>
    <w:rsid w:val="40414D0A"/>
    <w:rsid w:val="42A36BF0"/>
    <w:rsid w:val="43A34510"/>
    <w:rsid w:val="43AA1F78"/>
    <w:rsid w:val="444C5D30"/>
    <w:rsid w:val="46BC2E13"/>
    <w:rsid w:val="47512026"/>
    <w:rsid w:val="48947530"/>
    <w:rsid w:val="48F32584"/>
    <w:rsid w:val="4905650F"/>
    <w:rsid w:val="4BCC795D"/>
    <w:rsid w:val="4E104577"/>
    <w:rsid w:val="4FC0456C"/>
    <w:rsid w:val="523C2AA8"/>
    <w:rsid w:val="524B362B"/>
    <w:rsid w:val="52EC2A42"/>
    <w:rsid w:val="535E659A"/>
    <w:rsid w:val="542474B8"/>
    <w:rsid w:val="57872E9B"/>
    <w:rsid w:val="58B52FEB"/>
    <w:rsid w:val="58DD314B"/>
    <w:rsid w:val="593E43E8"/>
    <w:rsid w:val="597E6C18"/>
    <w:rsid w:val="5AB52AB0"/>
    <w:rsid w:val="5CEE06B0"/>
    <w:rsid w:val="67B80FC8"/>
    <w:rsid w:val="68661DDF"/>
    <w:rsid w:val="68B60F01"/>
    <w:rsid w:val="696274DD"/>
    <w:rsid w:val="69A51440"/>
    <w:rsid w:val="6C9D52AE"/>
    <w:rsid w:val="6CC630B8"/>
    <w:rsid w:val="6D2615F1"/>
    <w:rsid w:val="6DAE38B7"/>
    <w:rsid w:val="6E827307"/>
    <w:rsid w:val="703D0166"/>
    <w:rsid w:val="70753148"/>
    <w:rsid w:val="711345F5"/>
    <w:rsid w:val="75494E22"/>
    <w:rsid w:val="75EE45CE"/>
    <w:rsid w:val="767B5794"/>
    <w:rsid w:val="77BA7D76"/>
    <w:rsid w:val="783D17DB"/>
    <w:rsid w:val="7A967068"/>
    <w:rsid w:val="7BB348DA"/>
    <w:rsid w:val="7C727657"/>
    <w:rsid w:val="7D3922C7"/>
    <w:rsid w:val="7D7C164A"/>
    <w:rsid w:val="7DE3201F"/>
    <w:rsid w:val="7EEF25B3"/>
    <w:rsid w:val="7F3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</Words>
  <Characters>599</Characters>
  <Lines>4</Lines>
  <Paragraphs>1</Paragraphs>
  <TotalTime>16</TotalTime>
  <ScaleCrop>false</ScaleCrop>
  <LinksUpToDate>false</LinksUpToDate>
  <CharactersWithSpaces>703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2018-07-02T09:44:00Z</dcterms:created>
  <dc:creator>xzjd</dc:creator>
  <cp:lastModifiedBy>gfs</cp:lastModifiedBy>
  <cp:lastPrinted>2018-06-28T00:23:00Z</cp:lastPrinted>
  <dcterms:modified xsi:type="dcterms:W3CDTF">2018-11-25T06:05:52Z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