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firstLine="796" w:firstLineChars="221"/>
        <w:jc w:val="center"/>
        <w:rPr>
          <w:rFonts w:ascii="微软雅黑" w:hAnsi="微软雅黑" w:eastAsia="微软雅黑" w:cs="宋体"/>
          <w:b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kern w:val="0"/>
          <w:sz w:val="36"/>
          <w:szCs w:val="36"/>
        </w:rPr>
        <w:t>风里雨里，盐职等你！</w:t>
      </w:r>
    </w:p>
    <w:p>
      <w:pPr>
        <w:widowControl/>
        <w:spacing w:line="560" w:lineRule="atLeast"/>
        <w:ind w:firstLine="796" w:firstLineChars="221"/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6"/>
          <w:szCs w:val="36"/>
        </w:rPr>
        <w:t xml:space="preserve"> </w:t>
      </w:r>
      <w:r>
        <w:rPr>
          <w:rFonts w:ascii="微软雅黑" w:hAnsi="微软雅黑" w:eastAsia="微软雅黑" w:cs="宋体"/>
          <w:b/>
          <w:kern w:val="0"/>
          <w:sz w:val="36"/>
          <w:szCs w:val="36"/>
        </w:rPr>
        <w:t xml:space="preserve">          </w:t>
      </w: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——课程建设培训会简讯</w:t>
      </w:r>
    </w:p>
    <w:p>
      <w:pPr>
        <w:widowControl/>
        <w:spacing w:line="560" w:lineRule="atLeast"/>
        <w:ind w:firstLine="708" w:firstLineChars="221"/>
        <w:jc w:val="right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b/>
          <w:kern w:val="0"/>
          <w:sz w:val="32"/>
          <w:szCs w:val="32"/>
        </w:rPr>
        <w:t xml:space="preserve">  </w:t>
      </w:r>
      <w:r>
        <w:rPr>
          <w:rFonts w:hint="eastAsia" w:ascii="微软雅黑" w:hAnsi="微软雅黑" w:eastAsia="微软雅黑" w:cs="宋体"/>
          <w:kern w:val="0"/>
          <w:sz w:val="24"/>
        </w:rPr>
        <w:t>电商部 王嘉人供稿</w:t>
      </w:r>
    </w:p>
    <w:p>
      <w:pPr>
        <w:widowControl/>
        <w:spacing w:line="560" w:lineRule="atLeast"/>
        <w:ind w:firstLine="707" w:firstLineChars="22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Helvetica" w:eastAsia="仿宋" w:cs="宋体"/>
          <w:kern w:val="0"/>
          <w:sz w:val="32"/>
          <w:szCs w:val="32"/>
        </w:rPr>
        <w:t>为进一步推进中职学校专业课程建设，促进课程诊断和改进工作，提高专业人才培养质量，2019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年4月13日上午，</w:t>
      </w:r>
      <w:r>
        <w:rPr>
          <w:rFonts w:hint="eastAsia" w:ascii="仿宋" w:hAnsi="Helvetica" w:eastAsia="仿宋" w:cs="宋体"/>
          <w:kern w:val="0"/>
          <w:sz w:val="32"/>
          <w:szCs w:val="32"/>
        </w:rPr>
        <w:t>在4301</w:t>
      </w:r>
      <w:r>
        <w:rPr>
          <w:rFonts w:hint="eastAsia" w:ascii="仿宋" w:hAnsi="仿宋" w:eastAsia="仿宋" w:cs="宋体"/>
          <w:kern w:val="0"/>
          <w:sz w:val="32"/>
          <w:szCs w:val="32"/>
        </w:rPr>
        <w:t>会议室举行了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职业教育课程体系建构与标准编制</w:t>
      </w:r>
      <w:r>
        <w:rPr>
          <w:rFonts w:hint="eastAsia" w:ascii="仿宋" w:hAnsi="仿宋" w:eastAsia="仿宋" w:cs="宋体"/>
          <w:kern w:val="0"/>
          <w:sz w:val="32"/>
          <w:szCs w:val="32"/>
        </w:rPr>
        <w:t>培训会。由广东省教育研究院职业教育研究室副主任杜怡萍教授主讲，焦玉君校长，华群青副校长，还有各个教学线行政、助理、督导，教学部长，各专业（学科）组长，各专业骨干教师参加了本次培训。</w:t>
      </w: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在周六的清晨，阴雨绵绵，但是大家都不惧风雨，冒雨前行，风里雨里，盐职等你,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相关教师</w:t>
      </w:r>
      <w:r>
        <w:rPr>
          <w:rFonts w:hint="eastAsia" w:ascii="仿宋" w:hAnsi="仿宋" w:eastAsia="仿宋" w:cs="宋体"/>
          <w:kern w:val="0"/>
          <w:sz w:val="32"/>
          <w:szCs w:val="32"/>
        </w:rPr>
        <w:t>积极参加</w:t>
      </w:r>
      <w:r>
        <w:rPr>
          <w:rFonts w:hint="eastAsia" w:ascii="仿宋" w:hAnsi="Helvetica" w:eastAsia="仿宋" w:cs="宋体"/>
          <w:kern w:val="0"/>
          <w:sz w:val="32"/>
          <w:szCs w:val="32"/>
        </w:rPr>
        <w:t>专业课程建设</w:t>
      </w:r>
      <w:r>
        <w:rPr>
          <w:rFonts w:hint="eastAsia" w:ascii="仿宋" w:hAnsi="仿宋" w:eastAsia="仿宋" w:cs="宋体"/>
          <w:kern w:val="0"/>
          <w:sz w:val="32"/>
          <w:szCs w:val="32"/>
        </w:rPr>
        <w:t>培训。</w:t>
      </w:r>
      <w:bookmarkStart w:id="0" w:name="_GoBack"/>
      <w:bookmarkEnd w:id="0"/>
    </w:p>
    <w:p>
      <w:pPr>
        <w:widowControl/>
        <w:spacing w:line="560" w:lineRule="atLeast"/>
        <w:ind w:left="0" w:leftChars="0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5240655" cy="2370455"/>
            <wp:effectExtent l="0" t="0" r="17145" b="10795"/>
            <wp:docPr id="1" name="图片 1" descr="38b177097f0bbac0faefba9eeb90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b177097f0bbac0faefba9eeb90c74"/>
                    <pic:cNvPicPr>
                      <a:picLocks noChangeAspect="1"/>
                    </pic:cNvPicPr>
                  </pic:nvPicPr>
                  <pic:blipFill>
                    <a:blip r:embed="rId4"/>
                    <a:srcRect t="32116" b="7577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60" w:lineRule="atLeast"/>
        <w:ind w:left="0" w:leftChars="0" w:firstLine="0" w:firstLineChars="0"/>
        <w:jc w:val="center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培训会现场</w:t>
      </w: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widowControl/>
        <w:spacing w:line="560" w:lineRule="atLeast"/>
        <w:ind w:left="0" w:leftChars="0" w:firstLine="0" w:firstLineChars="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5044440" cy="3288030"/>
            <wp:effectExtent l="0" t="0" r="3810" b="7620"/>
            <wp:docPr id="5" name="图片 5" descr="757914ce5ed5bfb32d2626c42b554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57914ce5ed5bfb32d2626c42b5543f"/>
                    <pic:cNvPicPr>
                      <a:picLocks noChangeAspect="1"/>
                    </pic:cNvPicPr>
                  </pic:nvPicPr>
                  <pic:blipFill>
                    <a:blip r:embed="rId5"/>
                    <a:srcRect l="6361" t="25735" r="817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60" w:lineRule="atLeast"/>
        <w:ind w:left="0" w:leftChars="0" w:firstLine="0" w:firstLineChars="0"/>
        <w:jc w:val="center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杜怡萍教授主讲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《职业教育课程体系建构与标准编制》</w:t>
      </w: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杜教授为我们字字句句，非常详尽的讲解了：1、建构对接能力的课程。2、专业教学标准的编制说明。3、课程标准的编制说明。</w:t>
      </w:r>
    </w:p>
    <w:p>
      <w:pPr>
        <w:widowControl/>
        <w:spacing w:line="560" w:lineRule="atLeast"/>
        <w:ind w:left="0" w:leftChars="0" w:firstLine="0" w:firstLineChars="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4246880" cy="2871470"/>
            <wp:effectExtent l="0" t="0" r="1270" b="5080"/>
            <wp:docPr id="2" name="图片 2" descr="C:\Users\ADMINI~1\AppData\Local\Temp\WeChat Files\008ed0e6e9f5a27e739d8252d72f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008ed0e6e9f5a27e739d8252d72f1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t="11047" b="26587"/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atLeast"/>
        <w:ind w:left="0" w:leftChars="0" w:firstLine="0" w:firstLineChars="0"/>
        <w:jc w:val="center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焦玉君校长、华群青副校长全程参与培训会</w:t>
      </w:r>
    </w:p>
    <w:p>
      <w:pPr>
        <w:widowControl/>
        <w:spacing w:line="560" w:lineRule="atLeast"/>
        <w:ind w:firstLine="707" w:firstLineChars="22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在培训过程中大家都认真聆听，做好课程笔记。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对于</w:t>
      </w:r>
      <w:r>
        <w:rPr>
          <w:rFonts w:hint="eastAsia" w:ascii="仿宋" w:hAnsi="仿宋" w:eastAsia="仿宋" w:cs="宋体"/>
          <w:kern w:val="0"/>
          <w:sz w:val="32"/>
          <w:szCs w:val="32"/>
        </w:rPr>
        <w:t>如何确定课程建设目标、课程标准，课程诊改方法，撰写诊断意见、改进措施、改进效果等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内容有充分认识，也将为今后</w:t>
      </w:r>
      <w:r>
        <w:rPr>
          <w:rFonts w:hint="eastAsia" w:ascii="仿宋" w:hAnsi="仿宋" w:eastAsia="仿宋" w:cs="宋体"/>
          <w:kern w:val="0"/>
          <w:sz w:val="32"/>
          <w:szCs w:val="32"/>
        </w:rPr>
        <w:t>教师能够将学到的知识应用到专业课程建设实践过程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提供明确指引方向。</w:t>
      </w: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ind w:firstLine="707" w:firstLineChars="221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ind w:firstLine="5824" w:firstLineChars="182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2019年4月14日</w:t>
      </w:r>
    </w:p>
    <w:p>
      <w:pPr>
        <w:widowControl/>
        <w:spacing w:line="560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C127E"/>
    <w:rsid w:val="001D7A77"/>
    <w:rsid w:val="003D4D1F"/>
    <w:rsid w:val="00536096"/>
    <w:rsid w:val="006B3114"/>
    <w:rsid w:val="0075151D"/>
    <w:rsid w:val="009A5E52"/>
    <w:rsid w:val="00F14ED3"/>
    <w:rsid w:val="00FB5867"/>
    <w:rsid w:val="064B4D01"/>
    <w:rsid w:val="3A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</Words>
  <Characters>411</Characters>
  <Lines>3</Lines>
  <Paragraphs>1</Paragraphs>
  <TotalTime>5</TotalTime>
  <ScaleCrop>false</ScaleCrop>
  <LinksUpToDate>false</LinksUpToDate>
  <CharactersWithSpaces>482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2019-04-14T13:34:00Z</dcterms:created>
  <dc:creator>范米儿</dc:creator>
  <cp:lastModifiedBy>孤帆</cp:lastModifiedBy>
  <dcterms:modified xsi:type="dcterms:W3CDTF">2019-04-22T01:13:26Z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